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086026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Kütüphane ve Dokümantasyon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1601AC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Kütüphane ve Dokümantasyon Daire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1601AC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1601AC" w:rsidRDefault="001601AC" w:rsidP="001601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601AC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</w:t>
            </w:r>
            <w:r w:rsidR="002B0381">
              <w:rPr>
                <w:rFonts w:ascii="Cambria" w:hAnsi="Cambria" w:cstheme="minorHAnsi"/>
                <w:sz w:val="20"/>
                <w:szCs w:val="20"/>
              </w:rPr>
              <w:t xml:space="preserve">e uygun olarak yerine getirmek. </w:t>
            </w:r>
            <w:r w:rsidRPr="001601AC">
              <w:rPr>
                <w:rFonts w:ascii="Cambria" w:hAnsi="Cambria" w:cstheme="minorHAnsi"/>
                <w:sz w:val="20"/>
                <w:szCs w:val="20"/>
              </w:rPr>
              <w:t>Üniversite personel ve öğrencilerinin, eğitim-öğretim ve araştırmalarını desteklemek, geliştirmek için; yazılı-basılı, elektronik, görsel-işitsel her türlü bilgi kaynaklarını toplayarak kullanıcıların hizmetine sunmak</w:t>
            </w:r>
            <w:r w:rsidRPr="001601AC">
              <w:rPr>
                <w:rFonts w:ascii="Cambria" w:hAnsi="Cambria" w:cs="TimesNewRomanPSMT"/>
                <w:sz w:val="20"/>
                <w:szCs w:val="20"/>
              </w:rPr>
              <w:t xml:space="preserve">, </w:t>
            </w:r>
            <w:r w:rsidRPr="001601AC">
              <w:rPr>
                <w:rFonts w:ascii="Cambria" w:hAnsi="Cambria" w:cstheme="minorHAnsi"/>
                <w:sz w:val="20"/>
                <w:szCs w:val="20"/>
              </w:rPr>
              <w:t>sunulmasını sağlamak</w:t>
            </w:r>
            <w:r w:rsidRPr="001601AC">
              <w:rPr>
                <w:rFonts w:ascii="Cambria" w:hAnsi="Cambria" w:cs="TimesNewRomanPSMT"/>
                <w:sz w:val="20"/>
                <w:szCs w:val="20"/>
              </w:rPr>
              <w:t xml:space="preserve">. </w:t>
            </w:r>
            <w:proofErr w:type="gramStart"/>
            <w:r w:rsidRPr="001601AC">
              <w:rPr>
                <w:rFonts w:ascii="Cambria" w:hAnsi="Cambria" w:cstheme="minorHAnsi"/>
                <w:sz w:val="20"/>
                <w:szCs w:val="20"/>
              </w:rPr>
              <w:t>Daire başkanlığını yönetmek ve temsil etmek.</w:t>
            </w:r>
            <w:proofErr w:type="gramEnd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1601AC" w:rsidRPr="00086026" w:rsidRDefault="001601AC" w:rsidP="002B038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6026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Kararnamenin 33’üncü maddesindeki görevleri yapmak,</w:t>
            </w:r>
          </w:p>
          <w:p w:rsidR="001601AC" w:rsidRPr="00086026" w:rsidRDefault="001601AC" w:rsidP="002B038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6026">
              <w:rPr>
                <w:rFonts w:ascii="Cambria" w:hAnsi="Cambria" w:cstheme="minorHAnsi"/>
                <w:sz w:val="20"/>
                <w:szCs w:val="20"/>
              </w:rPr>
              <w:t>İlgili mevzuat ve üst yönetim tarafından belirlenmiş hizmetlerin üniversitenin amaç, hedef, stra</w:t>
            </w:r>
            <w:r w:rsidR="002B0381" w:rsidRPr="00086026">
              <w:rPr>
                <w:rFonts w:ascii="Cambria" w:hAnsi="Cambria" w:cstheme="minorHAnsi"/>
                <w:sz w:val="20"/>
                <w:szCs w:val="20"/>
              </w:rPr>
              <w:t xml:space="preserve">teji ve ilkeleri doğrultusunda </w:t>
            </w:r>
            <w:r w:rsidRPr="00086026">
              <w:rPr>
                <w:rFonts w:ascii="Cambria" w:hAnsi="Cambria" w:cstheme="minorHAnsi"/>
                <w:sz w:val="20"/>
                <w:szCs w:val="20"/>
              </w:rPr>
              <w:t>etkili, ekonomik ve verimli şekilde sunulmasını sağlamak için gerekli önlemleri almak</w:t>
            </w:r>
            <w:r w:rsidR="002B0381" w:rsidRPr="0008602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601AC" w:rsidRPr="00086026" w:rsidRDefault="002B0381" w:rsidP="002B038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6026">
              <w:rPr>
                <w:rFonts w:ascii="Cambria" w:hAnsi="Cambria" w:cstheme="minorHAnsi"/>
                <w:sz w:val="20"/>
                <w:szCs w:val="20"/>
              </w:rPr>
              <w:t xml:space="preserve">Daire başkanlığının işlerinin </w:t>
            </w:r>
            <w:r w:rsidR="001601AC" w:rsidRPr="00086026">
              <w:rPr>
                <w:rFonts w:ascii="Cambria" w:hAnsi="Cambria" w:cstheme="minorHAnsi"/>
                <w:sz w:val="20"/>
                <w:szCs w:val="20"/>
              </w:rPr>
              <w:t>yürütmesinde kanun, tüzük, yönetmelik, genelge, kararname ve diğer mevzuat hükümlerinin personel ta</w:t>
            </w:r>
            <w:r w:rsidRPr="00086026">
              <w:rPr>
                <w:rFonts w:ascii="Cambria" w:hAnsi="Cambria" w:cstheme="minorHAnsi"/>
                <w:sz w:val="20"/>
                <w:szCs w:val="20"/>
              </w:rPr>
              <w:t>rafından uygulanmasını sağlamak,</w:t>
            </w:r>
          </w:p>
          <w:p w:rsidR="001601AC" w:rsidRPr="00086026" w:rsidRDefault="001601AC" w:rsidP="002B038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6026">
              <w:rPr>
                <w:rFonts w:ascii="Cambria" w:hAnsi="Cambria" w:cstheme="minorHAnsi"/>
                <w:sz w:val="20"/>
                <w:szCs w:val="20"/>
              </w:rPr>
              <w:t>Başkanlık personelinin uyum, eşgüdüm ve işbirliği içinde çalışmasını sağlamak</w:t>
            </w:r>
            <w:r w:rsidR="002B0381" w:rsidRPr="0008602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601AC" w:rsidRPr="00086026" w:rsidRDefault="001601AC" w:rsidP="002B038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6026">
              <w:rPr>
                <w:rFonts w:ascii="Cambria" w:hAnsi="Cambria" w:cstheme="minorHAnsi"/>
                <w:sz w:val="20"/>
                <w:szCs w:val="20"/>
              </w:rPr>
              <w:t>Personelin eğitim ihtiyacını belirlemek, güncel mevzuatın takip edilmesi ve uygulanmasını sağlamak</w:t>
            </w:r>
            <w:r w:rsidR="002B0381" w:rsidRPr="0008602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601AC" w:rsidRPr="00086026" w:rsidRDefault="001601AC" w:rsidP="002B038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6026">
              <w:rPr>
                <w:rFonts w:ascii="Cambria" w:hAnsi="Cambria" w:cstheme="minorHAnsi"/>
                <w:sz w:val="20"/>
                <w:szCs w:val="20"/>
              </w:rPr>
              <w:t>İhtiyaç duyulması halinde yeni personel taleplerini üst amirine iletmek</w:t>
            </w:r>
            <w:r w:rsidR="002B0381" w:rsidRPr="0008602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601AC" w:rsidRPr="00086026" w:rsidRDefault="001601AC" w:rsidP="002B038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6026">
              <w:rPr>
                <w:rFonts w:ascii="Cambria" w:hAnsi="Cambria" w:cstheme="minorHAnsi"/>
                <w:sz w:val="20"/>
                <w:szCs w:val="20"/>
              </w:rPr>
              <w:t>Yazılı-basılı, elektronik, görsel-işitsel her türlü bilgi kaynağının kullanıcıların hizmetine sunulmasını sağlamak</w:t>
            </w:r>
            <w:r w:rsidR="002B0381" w:rsidRPr="0008602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601AC" w:rsidRPr="00086026" w:rsidRDefault="001601AC" w:rsidP="002B038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6026">
              <w:rPr>
                <w:rFonts w:ascii="Cambria" w:hAnsi="Cambria" w:cstheme="minorHAnsi"/>
                <w:sz w:val="20"/>
                <w:szCs w:val="20"/>
              </w:rPr>
              <w:t>Kütüphanecilik alanındaki gelişmeleri izleyerek teknolojik yeniliklerin kütüphanelere girmesi için çalışmalar yapmak,</w:t>
            </w:r>
          </w:p>
          <w:p w:rsidR="001601AC" w:rsidRPr="00086026" w:rsidRDefault="001601AC" w:rsidP="002B038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6026">
              <w:rPr>
                <w:rFonts w:ascii="Cambria" w:hAnsi="Cambria" w:cstheme="minorHAnsi"/>
                <w:sz w:val="20"/>
                <w:szCs w:val="20"/>
              </w:rPr>
              <w:t>Teknik ve kullanıcı hizmetlerinin standartlaşmasını sağlamak ve denetimini yapmak,</w:t>
            </w:r>
          </w:p>
          <w:p w:rsidR="001601AC" w:rsidRPr="00086026" w:rsidRDefault="001601AC" w:rsidP="002B038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6026">
              <w:rPr>
                <w:rFonts w:ascii="Cambria" w:hAnsi="Cambria" w:cstheme="minorHAnsi"/>
                <w:sz w:val="20"/>
                <w:szCs w:val="20"/>
              </w:rPr>
              <w:t xml:space="preserve"> Merkez ve birim kütüphanelerinin işbirliği içinde çalışmalarını sağlamak, bu amaçla mesleki kurslar açmak, eğitim programları düzenlemek,</w:t>
            </w:r>
          </w:p>
          <w:p w:rsidR="001601AC" w:rsidRPr="00086026" w:rsidRDefault="001601AC" w:rsidP="002B038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6026">
              <w:rPr>
                <w:rFonts w:ascii="Cambria" w:hAnsi="Cambria" w:cstheme="minorHAnsi"/>
                <w:sz w:val="20"/>
                <w:szCs w:val="20"/>
              </w:rPr>
              <w:t>Birim kütüphanelerince ihtiyaç duyulan her türlü kütüphane materyalini sağlamak,</w:t>
            </w:r>
          </w:p>
          <w:p w:rsidR="00086026" w:rsidRPr="00086026" w:rsidRDefault="00086026" w:rsidP="002B038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6026">
              <w:rPr>
                <w:rFonts w:ascii="Cambria" w:hAnsi="Cambria"/>
                <w:sz w:val="20"/>
                <w:szCs w:val="20"/>
              </w:rPr>
              <w:t>Bilgi edinme yasası çerçevesinde, Bilgi Edinme birimince talep edilen yazılara cevap vermek,</w:t>
            </w:r>
          </w:p>
          <w:p w:rsidR="00086026" w:rsidRPr="00086026" w:rsidRDefault="00086026" w:rsidP="002B038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6026">
              <w:rPr>
                <w:rFonts w:ascii="Cambria" w:hAnsi="Cambria"/>
                <w:sz w:val="20"/>
                <w:szCs w:val="20"/>
              </w:rPr>
              <w:t>Daire Başkanlığı ile ilgili birim faaliyet raporunu hazırlamak,</w:t>
            </w:r>
          </w:p>
          <w:p w:rsidR="00086026" w:rsidRPr="00086026" w:rsidRDefault="00086026" w:rsidP="002B038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6026">
              <w:rPr>
                <w:rFonts w:ascii="Cambria" w:hAnsi="Cambria"/>
                <w:sz w:val="20"/>
                <w:szCs w:val="20"/>
              </w:rPr>
              <w:t>Daire Başkanlığı için gerekli olan her türlü taşınır işlemlerinde taşınır mal yönetmeliğine göre işlem yapmak,</w:t>
            </w:r>
          </w:p>
          <w:p w:rsidR="00086026" w:rsidRPr="00086026" w:rsidRDefault="00086026" w:rsidP="002B038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6026">
              <w:rPr>
                <w:rFonts w:ascii="Cambria" w:hAnsi="Cambria"/>
                <w:sz w:val="20"/>
                <w:szCs w:val="20"/>
              </w:rPr>
              <w:t xml:space="preserve">Daire Başkanlığı bütçesi çerçevesinde, Eğitim-Öğretim ve araştırmalar için birimlerden gelen talepler dikkate alınarak gerekli kitap, süreli yayın, tez, elektronik yayın (e-kitap, e-süreli yayın, </w:t>
            </w:r>
            <w:proofErr w:type="spellStart"/>
            <w:r w:rsidRPr="00086026">
              <w:rPr>
                <w:rFonts w:ascii="Cambria" w:hAnsi="Cambria"/>
                <w:sz w:val="20"/>
                <w:szCs w:val="20"/>
              </w:rPr>
              <w:t>veritabanı</w:t>
            </w:r>
            <w:proofErr w:type="spellEnd"/>
            <w:r w:rsidRPr="00086026">
              <w:rPr>
                <w:rFonts w:ascii="Cambria" w:hAnsi="Cambria"/>
                <w:sz w:val="20"/>
                <w:szCs w:val="20"/>
              </w:rPr>
              <w:t xml:space="preserve"> vb.), görsel-işitsel materyal (DVD, CD, mikrofilm, </w:t>
            </w:r>
            <w:proofErr w:type="spellStart"/>
            <w:r w:rsidRPr="00086026">
              <w:rPr>
                <w:rFonts w:ascii="Cambria" w:hAnsi="Cambria"/>
                <w:sz w:val="20"/>
                <w:szCs w:val="20"/>
              </w:rPr>
              <w:t>mikroafiş</w:t>
            </w:r>
            <w:proofErr w:type="spellEnd"/>
            <w:r w:rsidRPr="00086026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gramStart"/>
            <w:r w:rsidRPr="00086026">
              <w:rPr>
                <w:rFonts w:ascii="Cambria" w:hAnsi="Cambria"/>
                <w:sz w:val="20"/>
                <w:szCs w:val="20"/>
              </w:rPr>
              <w:t>video bant</w:t>
            </w:r>
            <w:proofErr w:type="gramEnd"/>
            <w:r w:rsidRPr="00086026">
              <w:rPr>
                <w:rFonts w:ascii="Cambria" w:hAnsi="Cambria"/>
                <w:sz w:val="20"/>
                <w:szCs w:val="20"/>
              </w:rPr>
              <w:t xml:space="preserve"> vb.) gibi her türlü materyali yurt içinden ve yurt dışından temin edilmesini ve sistematik bir şekilde düzenleyerek kütüphanede hizmete hazır hale getirilmesini sağlamak,</w:t>
            </w:r>
          </w:p>
          <w:p w:rsidR="001601AC" w:rsidRPr="00086026" w:rsidRDefault="001601AC" w:rsidP="002B038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6026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</w:t>
            </w:r>
            <w:r w:rsidR="002B0381" w:rsidRPr="0008602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1601AC" w:rsidRDefault="001601AC" w:rsidP="002B038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86026">
              <w:rPr>
                <w:rFonts w:ascii="Cambria" w:hAnsi="Cambria" w:cstheme="minorHAnsi"/>
                <w:sz w:val="20"/>
                <w:szCs w:val="20"/>
              </w:rPr>
              <w:t>Genel sekreterlikçe verilen diğer görevleri yerine getirmek</w:t>
            </w:r>
            <w:r w:rsidR="002B0381" w:rsidRPr="00086026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2B038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2B038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B038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1601AC" w:rsidRPr="001601AC" w:rsidRDefault="001601AC" w:rsidP="002B038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601AC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2B0381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601AC" w:rsidRPr="001601AC" w:rsidRDefault="001601AC" w:rsidP="002B038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601A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2B0381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601AC" w:rsidRPr="001601AC" w:rsidRDefault="001601AC" w:rsidP="002B038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601AC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2B038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1601AC" w:rsidRDefault="001601AC" w:rsidP="002B038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601A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2B0381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1601AC" w:rsidRPr="00B87134" w:rsidTr="00AA392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1601AC" w:rsidRPr="00237669" w:rsidRDefault="001601AC" w:rsidP="00AA392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1601AC" w:rsidRPr="00B87134" w:rsidTr="001601AC">
        <w:trPr>
          <w:trHeight w:val="328"/>
        </w:trPr>
        <w:tc>
          <w:tcPr>
            <w:tcW w:w="10203" w:type="dxa"/>
            <w:shd w:val="clear" w:color="auto" w:fill="auto"/>
          </w:tcPr>
          <w:p w:rsidR="001601AC" w:rsidRPr="001601AC" w:rsidRDefault="001601AC" w:rsidP="002B038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601AC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1601AC" w:rsidRPr="00086026" w:rsidRDefault="001601AC" w:rsidP="002B038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601AC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086026" w:rsidRPr="00086026" w:rsidRDefault="00086026" w:rsidP="002B038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bookmarkStart w:id="0" w:name="_GoBack"/>
            <w:r w:rsidRPr="00086026">
              <w:rPr>
                <w:rFonts w:ascii="Cambria" w:hAnsi="Cambria"/>
                <w:sz w:val="20"/>
                <w:szCs w:val="20"/>
              </w:rPr>
              <w:lastRenderedPageBreak/>
              <w:t>2547 Sayılı Yükseköğretim Kanunu</w:t>
            </w:r>
          </w:p>
          <w:p w:rsidR="00086026" w:rsidRPr="00086026" w:rsidRDefault="00086026" w:rsidP="002B038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86026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086026" w:rsidRPr="00086026" w:rsidRDefault="00086026" w:rsidP="002B038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86026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086026" w:rsidRPr="00086026" w:rsidRDefault="00086026" w:rsidP="002B038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86026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086026" w:rsidRPr="001601AC" w:rsidRDefault="00086026" w:rsidP="002B038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86026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  <w:bookmarkEnd w:id="0"/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1AC" w:rsidRDefault="001601AC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1AC" w:rsidRDefault="001601AC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1AC" w:rsidRDefault="001601AC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1AC" w:rsidRDefault="001601AC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1AC" w:rsidRPr="00B87134" w:rsidRDefault="001601AC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  <w:p w:rsidR="00086026" w:rsidRPr="00237669" w:rsidRDefault="00086026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C61" w:rsidRDefault="00B97C61">
      <w:pPr>
        <w:spacing w:after="0" w:line="240" w:lineRule="auto"/>
      </w:pPr>
      <w:r>
        <w:separator/>
      </w:r>
    </w:p>
  </w:endnote>
  <w:endnote w:type="continuationSeparator" w:id="0">
    <w:p w:rsidR="00B97C61" w:rsidRDefault="00B9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8602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8602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C61" w:rsidRDefault="00B97C61">
      <w:pPr>
        <w:spacing w:after="0" w:line="240" w:lineRule="auto"/>
      </w:pPr>
      <w:r>
        <w:separator/>
      </w:r>
    </w:p>
  </w:footnote>
  <w:footnote w:type="continuationSeparator" w:id="0">
    <w:p w:rsidR="00B97C61" w:rsidRDefault="00B9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B97C61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36606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53F20BE"/>
    <w:multiLevelType w:val="hybridMultilevel"/>
    <w:tmpl w:val="C2BAF76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B7034E"/>
    <w:multiLevelType w:val="hybridMultilevel"/>
    <w:tmpl w:val="6D7A402E"/>
    <w:lvl w:ilvl="0" w:tplc="9F90C1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6026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1AC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0381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02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97C61"/>
    <w:rsid w:val="00BA0A0F"/>
    <w:rsid w:val="00BA0DAD"/>
    <w:rsid w:val="00BA3CDE"/>
    <w:rsid w:val="00BA605F"/>
    <w:rsid w:val="00BA718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2021-11-13T20:05:00Z</dcterms:created>
  <dcterms:modified xsi:type="dcterms:W3CDTF">2021-11-25T14:21:00Z</dcterms:modified>
</cp:coreProperties>
</file>